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7d13bd4614da8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54212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"Maslačak" Nova Bukovica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147.970,32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125.072,06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121.474,28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152.031,97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26.959,91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2.091,13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889,8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235,00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2.091,13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889,8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29.051,04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Manjak prihoda poslovanja na dan 30.06. odnosi se na obračunatu plaću i račune te obveze roditelja i Grada Slatina za uplatu sufinanciranja vrtića.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31.742,06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38.706,25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121,9</w:t>
            </w:r>
          </w:p>
        </w:tc>
      </w:tr>
    </w:tbl>
    <w:p>
      <w:pPr>
        <w:spacing w:before="0" w:after="0"/>
      </w:pPr>
    </w:p>
    <w:p>
      <w:r>
        <w:t xml:space="preserve">Prihodi se odnose na uplate roditelja za sufinanciranje boravka djece u vrtiću.Iznos je veći iz razloga što više djece s područja susjednog grada i općina koristi usluge dječjeg vrtića koji plaćaju punu ekonomsku cijenu.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95.697,02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106.184,70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111,0</w:t>
            </w:r>
          </w:p>
        </w:tc>
      </w:tr>
    </w:tbl>
    <w:p>
      <w:pPr>
        <w:spacing w:before="0" w:after="0"/>
      </w:pPr>
    </w:p>
    <w:p>
      <w:r>
        <w:t xml:space="preserve">Rashodi za zaposlene veći su u odnosu na prethodnu godinu. Razlog tome je povećanje osnovice za plaću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(bruto) (šifre 3111 do 3114)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73.415,60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84.114,66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114,6</w:t>
            </w:r>
          </w:p>
        </w:tc>
      </w:tr>
    </w:tbl>
    <w:p>
      <w:pPr>
        <w:spacing w:before="0" w:after="0"/>
      </w:pPr>
    </w:p>
    <w:p>
      <w:r>
        <w:t xml:space="preserve">-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prijevoz, za rad na terenu i odvojeni život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3.336,32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2.009,74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60,2</w:t>
            </w:r>
          </w:p>
        </w:tc>
      </w:tr>
    </w:tbl>
    <w:p>
      <w:pPr>
        <w:spacing w:before="0" w:after="0"/>
      </w:pPr>
    </w:p>
    <w:p>
      <w:r>
        <w:t xml:space="preserve">manja udaljenost radnika od mjesta stanovanja do mjesta rada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Uredski materijal i ostali materijalni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4.270,25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2.555,69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59,8</w:t>
            </w:r>
          </w:p>
        </w:tc>
      </w:tr>
    </w:tbl>
    <w:p>
      <w:pPr>
        <w:spacing w:before="0" w:after="0"/>
      </w:pPr>
    </w:p>
    <w:p>
      <w:r>
        <w:t xml:space="preserve">Manje nabavljeno uredskog materijala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sirovine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7.563,65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27.445,98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362,9</w:t>
            </w:r>
          </w:p>
        </w:tc>
      </w:tr>
    </w:tbl>
    <w:p>
      <w:pPr>
        <w:spacing w:before="0" w:after="0"/>
      </w:pPr>
    </w:p>
    <w:p>
      <w:r>
        <w:t xml:space="preserve">Trošak se odnosi na namirnice za doručak i užinu i dostavu hrane za ručak djece. Prošle godine je iznos bio manji jer je dio godine trošak hrane ugovorila općina pa je knjiženo kao trošak vrtića ali u Općinskom izvještaju.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Zdravstvene i veterinarske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246,06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2.118,52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861,0</w:t>
            </w:r>
          </w:p>
        </w:tc>
      </w:tr>
    </w:tbl>
    <w:p>
      <w:pPr>
        <w:spacing w:before="0" w:after="0"/>
      </w:pPr>
    </w:p>
    <w:p>
      <w:r>
        <w:t xml:space="preserve">Odnosi se na Implementaciju HACCP sustava, implementaciju PRKVM-legionela, uzimanje uzoraka vode, sanitarni pregled djelatnica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Računalne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1.668,12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203,4</w:t>
            </w:r>
          </w:p>
        </w:tc>
      </w:tr>
    </w:tbl>
    <w:p>
      <w:pPr>
        <w:spacing w:before="0" w:after="0"/>
      </w:pPr>
    </w:p>
    <w:p>
      <w:r>
        <w:t xml:space="preserve">Trošak se odnosi na ažuriranje računalnih baza  - e račun (MUNICIPAL) i mjesečno održavanje računovodstvenog i programa za vođenje uredskog poslovanja (INPRO)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2.091,13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889,8</w:t>
            </w:r>
          </w:p>
        </w:tc>
      </w:tr>
    </w:tbl>
    <w:p>
      <w:pPr>
        <w:spacing w:before="0" w:after="0"/>
      </w:pPr>
    </w:p>
    <w:p>
      <w:r>
        <w:t xml:space="preserve">nabava stola za previjanje djece i suncobrani za na igralište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novčanih sredstava na početku izvještajnog razdoblja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11P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novčanih sredstava je 0 jer vrtić posluje preko riznice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5.131,05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dospjelih obveza odnosi se na račune za koje se kasni u plaćanju. Dio računa je podmiren nakon kraja izvještajnog razdoblja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77d6b37618c4e44" /></Relationships>
</file>